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2078968</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ואחת</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מאיר כהן</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פ/115/21</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Pr="00F67051" w:rsidRDefault="00A443CF" w:rsidP="0021633A">
      <w:pPr>
        <w:pStyle w:val="HeadHatzaotHok"/>
        <w:rPr>
          <w:rtl/>
        </w:rPr>
      </w:pPr>
      <w:bookmarkStart w:id="7" w:name="LGS_Subject"/>
      <w:r>
        <w:rPr>
          <w:rFonts w:hint="cs"/>
          <w:rtl/>
        </w:rPr>
        <w:t xml:space="preserve">הצעת חוק כביש אגרה (כביש ארצי לישראל) (תיקון – מידע על עומס תנועה), </w:t>
      </w:r>
      <w:proofErr w:type="spellStart"/>
      <w:r>
        <w:rPr>
          <w:rFonts w:hint="cs"/>
          <w:rtl/>
        </w:rPr>
        <w:t>התשע"ט</w:t>
      </w:r>
      <w:proofErr w:type="spellEnd"/>
      <w:r>
        <w:rPr>
          <w:rFonts w:hint="cs"/>
          <w:rtl/>
        </w:rPr>
        <w:t>–2019</w:t>
      </w:r>
      <w:bookmarkEnd w:id="7"/>
    </w:p>
    <w:p w14:paraId="54BA0FC1" w14:textId="77777777" w:rsidR="002D0AC3" w:rsidRDefault="002D0AC3" w:rsidP="002D0AC3">
      <w:pPr>
        <w:pStyle w:val="HeadDivreiHesber"/>
        <w:spacing w:before="0" w:after="0"/>
        <w:rPr>
          <w:rtl/>
        </w:rPr>
      </w:pPr>
    </w:p>
    <w:tbl>
      <w:tblPr>
        <w:bidiVisual/>
        <w:tblW w:w="9641" w:type="dxa"/>
        <w:tblLayout w:type="fixed"/>
        <w:tblCellMar>
          <w:top w:w="57" w:type="dxa"/>
          <w:left w:w="0" w:type="dxa"/>
          <w:bottom w:w="57" w:type="dxa"/>
          <w:right w:w="0" w:type="dxa"/>
        </w:tblCellMar>
        <w:tblLook w:val="04A0" w:firstRow="1" w:lastRow="0" w:firstColumn="1" w:lastColumn="0" w:noHBand="0" w:noVBand="1"/>
      </w:tblPr>
      <w:tblGrid>
        <w:gridCol w:w="1870"/>
        <w:gridCol w:w="624"/>
        <w:gridCol w:w="1872"/>
        <w:gridCol w:w="624"/>
        <w:gridCol w:w="4651"/>
      </w:tblGrid>
      <w:tr w:rsidR="002D0AC3" w14:paraId="197BA450" w14:textId="77777777" w:rsidTr="00A420BF">
        <w:trPr>
          <w:cantSplit/>
        </w:trPr>
        <w:tc>
          <w:tcPr>
            <w:tcW w:w="1870" w:type="dxa"/>
            <w:hideMark/>
          </w:tcPr>
          <w:p w14:paraId="00FB50C9" w14:textId="77777777" w:rsidR="002D0AC3" w:rsidRDefault="002D0AC3" w:rsidP="00A420BF">
            <w:pPr>
              <w:pStyle w:val="TableSideHeading"/>
            </w:pPr>
            <w:r>
              <w:rPr>
                <w:rFonts w:hint="cs"/>
                <w:sz w:val="26"/>
                <w:rtl/>
              </w:rPr>
              <w:t>הוספת סעיף 7א</w:t>
            </w:r>
          </w:p>
        </w:tc>
        <w:tc>
          <w:tcPr>
            <w:tcW w:w="624" w:type="dxa"/>
            <w:hideMark/>
          </w:tcPr>
          <w:p w14:paraId="4456D130" w14:textId="77777777" w:rsidR="002D0AC3" w:rsidRDefault="002D0AC3" w:rsidP="00A420BF">
            <w:pPr>
              <w:pStyle w:val="TableText"/>
              <w:rPr>
                <w:rtl/>
              </w:rPr>
            </w:pPr>
            <w:r>
              <w:rPr>
                <w:rFonts w:hint="cs"/>
                <w:sz w:val="26"/>
                <w:rtl/>
              </w:rPr>
              <w:t>1.</w:t>
            </w:r>
          </w:p>
        </w:tc>
        <w:tc>
          <w:tcPr>
            <w:tcW w:w="7147" w:type="dxa"/>
            <w:gridSpan w:val="3"/>
            <w:hideMark/>
          </w:tcPr>
          <w:p w14:paraId="51A3F1AF" w14:textId="77777777" w:rsidR="002D0AC3" w:rsidRDefault="002D0AC3" w:rsidP="00A420BF">
            <w:pPr>
              <w:pStyle w:val="TableBlock"/>
              <w:rPr>
                <w:rtl/>
              </w:rPr>
            </w:pPr>
            <w:r>
              <w:rPr>
                <w:rFonts w:hint="cs"/>
                <w:sz w:val="26"/>
                <w:rtl/>
              </w:rPr>
              <w:t xml:space="preserve">בחוק כביש אגרה (כביש ארצי לישראל), </w:t>
            </w:r>
            <w:proofErr w:type="spellStart"/>
            <w:r>
              <w:rPr>
                <w:rFonts w:hint="cs"/>
                <w:sz w:val="26"/>
                <w:rtl/>
              </w:rPr>
              <w:t>התשנ"ה</w:t>
            </w:r>
            <w:proofErr w:type="spellEnd"/>
            <w:r>
              <w:rPr>
                <w:rFonts w:hint="cs"/>
                <w:sz w:val="26"/>
                <w:rtl/>
              </w:rPr>
              <w:t>–1995</w:t>
            </w:r>
            <w:r>
              <w:rPr>
                <w:rStyle w:val="a6"/>
                <w:sz w:val="26"/>
                <w:rtl/>
              </w:rPr>
              <w:footnoteReference w:id="2"/>
            </w:r>
            <w:r>
              <w:rPr>
                <w:rFonts w:hint="cs"/>
                <w:sz w:val="26"/>
                <w:rtl/>
              </w:rPr>
              <w:t xml:space="preserve"> (להלן – החוק העיקרי), אחרי סעיף 7 יבוא:</w:t>
            </w:r>
          </w:p>
        </w:tc>
      </w:tr>
      <w:tr w:rsidR="002D0AC3" w14:paraId="6A84DAA0" w14:textId="77777777" w:rsidTr="00A420BF">
        <w:tblPrEx>
          <w:tblLook w:val="01E0" w:firstRow="1" w:lastRow="1" w:firstColumn="1" w:lastColumn="1" w:noHBand="0" w:noVBand="0"/>
        </w:tblPrEx>
        <w:trPr>
          <w:cantSplit/>
          <w:trHeight w:val="60"/>
        </w:trPr>
        <w:tc>
          <w:tcPr>
            <w:tcW w:w="1870" w:type="dxa"/>
          </w:tcPr>
          <w:p w14:paraId="375B4D75" w14:textId="77777777" w:rsidR="002D0AC3" w:rsidRDefault="002D0AC3" w:rsidP="00A420BF">
            <w:pPr>
              <w:pStyle w:val="TableSideHeading"/>
              <w:keepLines w:val="0"/>
            </w:pPr>
          </w:p>
        </w:tc>
        <w:tc>
          <w:tcPr>
            <w:tcW w:w="624" w:type="dxa"/>
          </w:tcPr>
          <w:p w14:paraId="44B7446A" w14:textId="77777777" w:rsidR="002D0AC3" w:rsidRDefault="002D0AC3" w:rsidP="00A420BF">
            <w:pPr>
              <w:pStyle w:val="TableText"/>
              <w:keepLines w:val="0"/>
            </w:pPr>
          </w:p>
        </w:tc>
        <w:tc>
          <w:tcPr>
            <w:tcW w:w="1872" w:type="dxa"/>
          </w:tcPr>
          <w:p w14:paraId="45C87837" w14:textId="77777777" w:rsidR="002D0AC3" w:rsidRDefault="002D0AC3" w:rsidP="00A420BF">
            <w:pPr>
              <w:pStyle w:val="TableInnerSideHeading"/>
            </w:pPr>
            <w:r>
              <w:rPr>
                <w:rFonts w:hint="cs"/>
                <w:rtl/>
              </w:rPr>
              <w:t>"מידע בדבר עומס תנועה</w:t>
            </w:r>
          </w:p>
        </w:tc>
        <w:tc>
          <w:tcPr>
            <w:tcW w:w="624" w:type="dxa"/>
          </w:tcPr>
          <w:p w14:paraId="36B8AA6D" w14:textId="77777777" w:rsidR="002D0AC3" w:rsidRDefault="002D0AC3" w:rsidP="00A420BF">
            <w:pPr>
              <w:pStyle w:val="TableText"/>
            </w:pPr>
            <w:r>
              <w:rPr>
                <w:rFonts w:hint="cs"/>
                <w:rtl/>
              </w:rPr>
              <w:t>7א.</w:t>
            </w:r>
          </w:p>
        </w:tc>
        <w:tc>
          <w:tcPr>
            <w:tcW w:w="4651" w:type="dxa"/>
          </w:tcPr>
          <w:p w14:paraId="656EE645" w14:textId="333B68FA" w:rsidR="002D0AC3" w:rsidRDefault="002D0AC3" w:rsidP="00A420BF">
            <w:pPr>
              <w:pStyle w:val="TableBlock"/>
            </w:pPr>
            <w:r>
              <w:rPr>
                <w:rFonts w:hint="cs"/>
                <w:rtl/>
              </w:rPr>
              <w:t>לפני כניסה לכביש אגרה אשר מחויב בתשלום יוצג, בשילוט אלקטרוני ובאופן בולט הנראה לעין הנוהג בכביש, מידע עדכני בדבר עומס התנועה בו, והכ</w:t>
            </w:r>
            <w:r w:rsidR="00592AA3">
              <w:rPr>
                <w:rFonts w:hint="cs"/>
                <w:rtl/>
              </w:rPr>
              <w:t>ו</w:t>
            </w:r>
            <w:r>
              <w:rPr>
                <w:rFonts w:hint="cs"/>
                <w:rtl/>
              </w:rPr>
              <w:t>ל בהתאם להוראות שקבע השר, לרבות לעניין האחריות להצבת השילוט, מיקומו וגודלו."</w:t>
            </w:r>
          </w:p>
        </w:tc>
      </w:tr>
      <w:tr w:rsidR="002D0AC3" w14:paraId="24FAC8A2" w14:textId="77777777" w:rsidTr="00A420BF">
        <w:trPr>
          <w:cantSplit/>
        </w:trPr>
        <w:tc>
          <w:tcPr>
            <w:tcW w:w="1870" w:type="dxa"/>
            <w:hideMark/>
          </w:tcPr>
          <w:p w14:paraId="05C42C1B" w14:textId="77777777" w:rsidR="002D0AC3" w:rsidRDefault="002D0AC3" w:rsidP="00A420BF">
            <w:pPr>
              <w:pStyle w:val="TableSideHeading"/>
              <w:rPr>
                <w:rtl/>
              </w:rPr>
            </w:pPr>
            <w:r>
              <w:rPr>
                <w:rFonts w:hint="cs"/>
                <w:rtl/>
              </w:rPr>
              <w:t>תקנות ראשונות</w:t>
            </w:r>
          </w:p>
        </w:tc>
        <w:tc>
          <w:tcPr>
            <w:tcW w:w="624" w:type="dxa"/>
            <w:hideMark/>
          </w:tcPr>
          <w:p w14:paraId="51DCC493" w14:textId="77777777" w:rsidR="002D0AC3" w:rsidRDefault="002D0AC3" w:rsidP="00A420BF">
            <w:pPr>
              <w:pStyle w:val="TableText"/>
              <w:rPr>
                <w:rtl/>
              </w:rPr>
            </w:pPr>
            <w:r>
              <w:rPr>
                <w:rFonts w:hint="cs"/>
                <w:rtl/>
              </w:rPr>
              <w:t xml:space="preserve">2. </w:t>
            </w:r>
          </w:p>
        </w:tc>
        <w:tc>
          <w:tcPr>
            <w:tcW w:w="7147" w:type="dxa"/>
            <w:gridSpan w:val="3"/>
            <w:hideMark/>
          </w:tcPr>
          <w:p w14:paraId="1D6E2128" w14:textId="77777777" w:rsidR="002D0AC3" w:rsidRDefault="002D0AC3" w:rsidP="00A420BF">
            <w:pPr>
              <w:pStyle w:val="TableBlock"/>
              <w:rPr>
                <w:sz w:val="26"/>
                <w:rtl/>
              </w:rPr>
            </w:pPr>
            <w:r>
              <w:rPr>
                <w:rFonts w:hint="cs"/>
                <w:sz w:val="26"/>
                <w:rtl/>
              </w:rPr>
              <w:t xml:space="preserve">תקנות ראשונות לפי סעיף 7א לחוק העיקרי, כנוסחו בסעיף 1 לחוק זה, יותקנו בתוך 120 ימים מיום תחילתו של חוק זה. </w:t>
            </w:r>
          </w:p>
        </w:tc>
      </w:tr>
    </w:tbl>
    <w:p w14:paraId="7F6961CA" w14:textId="77777777" w:rsidR="002D1EE3" w:rsidRDefault="002D1EE3" w:rsidP="002D1EE3">
      <w:pPr>
        <w:pStyle w:val="HeadDivreiHesber"/>
        <w:rPr>
          <w:rtl/>
        </w:rPr>
      </w:pPr>
      <w:r w:rsidRPr="0027450A">
        <w:rPr>
          <w:rFonts w:hint="cs"/>
          <w:rtl/>
        </w:rPr>
        <w:t>דברי הסבר</w:t>
      </w:r>
    </w:p>
    <w:p w14:paraId="34EDAD76" w14:textId="20498792" w:rsidR="002D0AC3" w:rsidRPr="003021C5" w:rsidRDefault="002D0AC3" w:rsidP="002D0AC3">
      <w:pPr>
        <w:pStyle w:val="Hesber"/>
      </w:pPr>
      <w:r w:rsidRPr="003021C5">
        <w:rPr>
          <w:rFonts w:hint="cs"/>
          <w:rtl/>
        </w:rPr>
        <w:t xml:space="preserve">מטרתה של הצעת חוק זו היא להבטיח כי נהגים השוקלים לנסוע בכביש אגרה יקבלו מידע על מצב התנועה בו, בטרם ייכנסו אליו, וזאת כדי שלא ייקלעו לעומס תנועה בכביש שנועד להבטיח נסיעה מהירה ויעילה. </w:t>
      </w:r>
    </w:p>
    <w:p w14:paraId="1D2466CE" w14:textId="77777777" w:rsidR="002D0AC3" w:rsidRPr="003021C5" w:rsidRDefault="002D0AC3" w:rsidP="002D0AC3">
      <w:pPr>
        <w:pStyle w:val="Hesber"/>
        <w:rPr>
          <w:rtl/>
        </w:rPr>
      </w:pPr>
      <w:r w:rsidRPr="003021C5">
        <w:rPr>
          <w:rFonts w:hint="eastAsia"/>
          <w:rtl/>
        </w:rPr>
        <w:t>כבישי</w:t>
      </w:r>
      <w:r w:rsidRPr="003021C5">
        <w:rPr>
          <w:rtl/>
        </w:rPr>
        <w:t xml:space="preserve"> אגרה, המהווים פתרון תחבורתי בתשלום לשעות העומס, נועדו, בין היתר, להסטת עומסי התנועה מכבישים שאינם כבישי אגרה (להלן – כבישים ציבוריים). בשל כך, בטרם יעשה נהג שימוש בכביש </w:t>
      </w:r>
      <w:r w:rsidRPr="003021C5">
        <w:rPr>
          <w:rFonts w:hint="eastAsia"/>
          <w:rtl/>
        </w:rPr>
        <w:t>מסוג</w:t>
      </w:r>
      <w:r w:rsidRPr="003021C5">
        <w:rPr>
          <w:rtl/>
        </w:rPr>
        <w:t xml:space="preserve"> זה, עליו לדעת כי הכביש פנוי וכי כדאי לו לעבור אליו. </w:t>
      </w:r>
    </w:p>
    <w:p w14:paraId="1888A5A2" w14:textId="3FE2BD30" w:rsidR="002D0AC3" w:rsidRPr="003021C5" w:rsidRDefault="002D0AC3" w:rsidP="002D0AC3">
      <w:pPr>
        <w:pStyle w:val="Hesber"/>
        <w:rPr>
          <w:rtl/>
        </w:rPr>
      </w:pPr>
      <w:r w:rsidRPr="003021C5">
        <w:rPr>
          <w:rFonts w:hint="eastAsia"/>
          <w:rtl/>
        </w:rPr>
        <w:t>לא</w:t>
      </w:r>
      <w:r w:rsidRPr="003021C5">
        <w:rPr>
          <w:rtl/>
        </w:rPr>
        <w:t xml:space="preserve"> </w:t>
      </w:r>
      <w:r w:rsidRPr="003021C5">
        <w:rPr>
          <w:rFonts w:hint="eastAsia"/>
          <w:rtl/>
        </w:rPr>
        <w:t>אחת</w:t>
      </w:r>
      <w:r w:rsidRPr="003021C5">
        <w:rPr>
          <w:rtl/>
        </w:rPr>
        <w:t xml:space="preserve"> </w:t>
      </w:r>
      <w:r w:rsidRPr="003021C5">
        <w:rPr>
          <w:rFonts w:hint="eastAsia"/>
          <w:rtl/>
        </w:rPr>
        <w:t>יוצא</w:t>
      </w:r>
      <w:r w:rsidRPr="003021C5">
        <w:rPr>
          <w:rtl/>
        </w:rPr>
        <w:t xml:space="preserve"> </w:t>
      </w:r>
      <w:r w:rsidRPr="003021C5">
        <w:rPr>
          <w:rFonts w:hint="eastAsia"/>
          <w:rtl/>
        </w:rPr>
        <w:t>שנהגים</w:t>
      </w:r>
      <w:r w:rsidRPr="003021C5">
        <w:rPr>
          <w:rtl/>
        </w:rPr>
        <w:t xml:space="preserve"> </w:t>
      </w:r>
      <w:r w:rsidRPr="003021C5">
        <w:rPr>
          <w:rFonts w:hint="eastAsia"/>
          <w:rtl/>
        </w:rPr>
        <w:t>מחליטים</w:t>
      </w:r>
      <w:r w:rsidRPr="003021C5">
        <w:rPr>
          <w:rtl/>
        </w:rPr>
        <w:t xml:space="preserve"> </w:t>
      </w:r>
      <w:r w:rsidRPr="003021C5">
        <w:rPr>
          <w:rFonts w:hint="eastAsia"/>
          <w:rtl/>
        </w:rPr>
        <w:t>לנהוג</w:t>
      </w:r>
      <w:r w:rsidRPr="003021C5">
        <w:rPr>
          <w:rtl/>
        </w:rPr>
        <w:t xml:space="preserve"> </w:t>
      </w:r>
      <w:r w:rsidRPr="003021C5">
        <w:rPr>
          <w:rFonts w:hint="eastAsia"/>
          <w:rtl/>
        </w:rPr>
        <w:t>בכביש</w:t>
      </w:r>
      <w:r w:rsidRPr="003021C5">
        <w:rPr>
          <w:rtl/>
        </w:rPr>
        <w:t xml:space="preserve"> </w:t>
      </w:r>
      <w:r w:rsidRPr="003021C5">
        <w:rPr>
          <w:rFonts w:hint="eastAsia"/>
          <w:rtl/>
        </w:rPr>
        <w:t>אגרה</w:t>
      </w:r>
      <w:r w:rsidRPr="003021C5">
        <w:rPr>
          <w:rtl/>
        </w:rPr>
        <w:t xml:space="preserve"> </w:t>
      </w:r>
      <w:r w:rsidRPr="003021C5">
        <w:rPr>
          <w:rFonts w:hint="eastAsia"/>
          <w:rtl/>
        </w:rPr>
        <w:t>כדי</w:t>
      </w:r>
      <w:r w:rsidRPr="003021C5">
        <w:rPr>
          <w:rtl/>
        </w:rPr>
        <w:t xml:space="preserve"> </w:t>
      </w:r>
      <w:r w:rsidRPr="003021C5">
        <w:rPr>
          <w:rFonts w:hint="eastAsia"/>
          <w:rtl/>
        </w:rPr>
        <w:t>להתגבר</w:t>
      </w:r>
      <w:r w:rsidRPr="003021C5">
        <w:rPr>
          <w:rtl/>
        </w:rPr>
        <w:t xml:space="preserve"> </w:t>
      </w:r>
      <w:r w:rsidRPr="003021C5">
        <w:rPr>
          <w:rFonts w:hint="eastAsia"/>
          <w:rtl/>
        </w:rPr>
        <w:t>על</w:t>
      </w:r>
      <w:r w:rsidRPr="003021C5">
        <w:rPr>
          <w:rtl/>
        </w:rPr>
        <w:t xml:space="preserve"> </w:t>
      </w:r>
      <w:r w:rsidRPr="003021C5">
        <w:rPr>
          <w:rFonts w:hint="eastAsia"/>
          <w:rtl/>
        </w:rPr>
        <w:t>עומסי</w:t>
      </w:r>
      <w:r w:rsidRPr="003021C5">
        <w:rPr>
          <w:rtl/>
        </w:rPr>
        <w:t xml:space="preserve"> </w:t>
      </w:r>
      <w:r w:rsidRPr="003021C5">
        <w:rPr>
          <w:rFonts w:hint="eastAsia"/>
          <w:rtl/>
        </w:rPr>
        <w:t>תנועה</w:t>
      </w:r>
      <w:r w:rsidRPr="003021C5">
        <w:rPr>
          <w:rtl/>
        </w:rPr>
        <w:t xml:space="preserve"> </w:t>
      </w:r>
      <w:r w:rsidRPr="003021C5">
        <w:rPr>
          <w:rFonts w:hint="eastAsia"/>
          <w:rtl/>
        </w:rPr>
        <w:t>ולקצר</w:t>
      </w:r>
      <w:r w:rsidRPr="003021C5">
        <w:rPr>
          <w:rtl/>
        </w:rPr>
        <w:t xml:space="preserve"> </w:t>
      </w:r>
      <w:r w:rsidRPr="003021C5">
        <w:rPr>
          <w:rFonts w:hint="eastAsia"/>
          <w:rtl/>
        </w:rPr>
        <w:t>את</w:t>
      </w:r>
      <w:r w:rsidRPr="003021C5">
        <w:rPr>
          <w:rtl/>
        </w:rPr>
        <w:t xml:space="preserve"> </w:t>
      </w:r>
      <w:r w:rsidRPr="003021C5">
        <w:rPr>
          <w:rFonts w:hint="eastAsia"/>
          <w:rtl/>
        </w:rPr>
        <w:t>זמן</w:t>
      </w:r>
      <w:r w:rsidRPr="003021C5">
        <w:rPr>
          <w:rtl/>
        </w:rPr>
        <w:t xml:space="preserve"> </w:t>
      </w:r>
      <w:r w:rsidRPr="003021C5">
        <w:rPr>
          <w:rFonts w:hint="eastAsia"/>
          <w:rtl/>
        </w:rPr>
        <w:t>נסיעתם</w:t>
      </w:r>
      <w:r w:rsidRPr="003021C5">
        <w:rPr>
          <w:rtl/>
        </w:rPr>
        <w:t xml:space="preserve">, </w:t>
      </w:r>
      <w:r w:rsidRPr="003021C5">
        <w:rPr>
          <w:rFonts w:hint="eastAsia"/>
          <w:rtl/>
        </w:rPr>
        <w:t>אולם</w:t>
      </w:r>
      <w:r w:rsidRPr="003021C5">
        <w:rPr>
          <w:rtl/>
        </w:rPr>
        <w:t xml:space="preserve"> </w:t>
      </w:r>
      <w:r w:rsidRPr="003021C5">
        <w:rPr>
          <w:rFonts w:hint="eastAsia"/>
          <w:rtl/>
        </w:rPr>
        <w:t>מרגע</w:t>
      </w:r>
      <w:r w:rsidRPr="003021C5">
        <w:rPr>
          <w:rtl/>
        </w:rPr>
        <w:t xml:space="preserve"> </w:t>
      </w:r>
      <w:r w:rsidRPr="003021C5">
        <w:rPr>
          <w:rFonts w:hint="eastAsia"/>
          <w:rtl/>
        </w:rPr>
        <w:t>שנכנסו</w:t>
      </w:r>
      <w:r w:rsidRPr="003021C5">
        <w:rPr>
          <w:rtl/>
        </w:rPr>
        <w:t xml:space="preserve"> </w:t>
      </w:r>
      <w:r w:rsidRPr="003021C5">
        <w:rPr>
          <w:rFonts w:hint="eastAsia"/>
          <w:rtl/>
        </w:rPr>
        <w:t>אל</w:t>
      </w:r>
      <w:r w:rsidRPr="003021C5">
        <w:rPr>
          <w:rtl/>
        </w:rPr>
        <w:t xml:space="preserve"> </w:t>
      </w:r>
      <w:r w:rsidRPr="003021C5">
        <w:rPr>
          <w:rFonts w:hint="eastAsia"/>
          <w:rtl/>
        </w:rPr>
        <w:t>כביש</w:t>
      </w:r>
      <w:r w:rsidRPr="003021C5">
        <w:rPr>
          <w:rtl/>
        </w:rPr>
        <w:t xml:space="preserve"> </w:t>
      </w:r>
      <w:r w:rsidRPr="003021C5">
        <w:rPr>
          <w:rFonts w:hint="eastAsia"/>
          <w:rtl/>
        </w:rPr>
        <w:t>האגרה</w:t>
      </w:r>
      <w:r w:rsidRPr="003021C5">
        <w:rPr>
          <w:rtl/>
        </w:rPr>
        <w:t xml:space="preserve"> </w:t>
      </w:r>
      <w:r w:rsidRPr="003021C5">
        <w:rPr>
          <w:rFonts w:hint="eastAsia"/>
          <w:rtl/>
        </w:rPr>
        <w:t>מתגלה</w:t>
      </w:r>
      <w:r w:rsidRPr="003021C5">
        <w:rPr>
          <w:rtl/>
        </w:rPr>
        <w:t xml:space="preserve"> </w:t>
      </w:r>
      <w:r w:rsidRPr="003021C5">
        <w:rPr>
          <w:rFonts w:hint="eastAsia"/>
          <w:rtl/>
        </w:rPr>
        <w:t>להם</w:t>
      </w:r>
      <w:r w:rsidRPr="003021C5">
        <w:rPr>
          <w:rtl/>
        </w:rPr>
        <w:t xml:space="preserve"> </w:t>
      </w:r>
      <w:r w:rsidRPr="003021C5">
        <w:rPr>
          <w:rFonts w:hint="eastAsia"/>
          <w:rtl/>
        </w:rPr>
        <w:t>שבכביש</w:t>
      </w:r>
      <w:r w:rsidRPr="003021C5">
        <w:rPr>
          <w:rtl/>
        </w:rPr>
        <w:t xml:space="preserve"> </w:t>
      </w:r>
      <w:r w:rsidRPr="003021C5">
        <w:rPr>
          <w:rFonts w:hint="eastAsia"/>
          <w:rtl/>
        </w:rPr>
        <w:t>יש</w:t>
      </w:r>
      <w:r w:rsidRPr="003021C5">
        <w:rPr>
          <w:rtl/>
        </w:rPr>
        <w:t xml:space="preserve"> </w:t>
      </w:r>
      <w:r w:rsidRPr="003021C5">
        <w:rPr>
          <w:rFonts w:hint="eastAsia"/>
          <w:rtl/>
        </w:rPr>
        <w:t>עומס</w:t>
      </w:r>
      <w:r w:rsidRPr="003021C5">
        <w:rPr>
          <w:rtl/>
        </w:rPr>
        <w:t xml:space="preserve"> </w:t>
      </w:r>
      <w:r w:rsidRPr="003021C5">
        <w:rPr>
          <w:rFonts w:hint="eastAsia"/>
          <w:rtl/>
        </w:rPr>
        <w:t>תנועה</w:t>
      </w:r>
      <w:r w:rsidRPr="003021C5">
        <w:rPr>
          <w:rtl/>
        </w:rPr>
        <w:t xml:space="preserve"> </w:t>
      </w:r>
      <w:r w:rsidRPr="003021C5">
        <w:rPr>
          <w:rFonts w:hint="eastAsia"/>
          <w:rtl/>
        </w:rPr>
        <w:t>כבד</w:t>
      </w:r>
      <w:r w:rsidRPr="003021C5">
        <w:rPr>
          <w:rtl/>
        </w:rPr>
        <w:t xml:space="preserve"> </w:t>
      </w:r>
      <w:r w:rsidRPr="003021C5">
        <w:rPr>
          <w:rFonts w:hint="eastAsia"/>
          <w:rtl/>
        </w:rPr>
        <w:t>שמעכב</w:t>
      </w:r>
      <w:r w:rsidRPr="003021C5">
        <w:rPr>
          <w:rtl/>
        </w:rPr>
        <w:t xml:space="preserve"> </w:t>
      </w:r>
      <w:r w:rsidRPr="003021C5">
        <w:rPr>
          <w:rFonts w:hint="eastAsia"/>
          <w:rtl/>
        </w:rPr>
        <w:t>אותם</w:t>
      </w:r>
      <w:r w:rsidRPr="003021C5">
        <w:rPr>
          <w:rtl/>
        </w:rPr>
        <w:t xml:space="preserve"> </w:t>
      </w:r>
      <w:r w:rsidRPr="003021C5">
        <w:rPr>
          <w:rFonts w:hint="eastAsia"/>
          <w:rtl/>
        </w:rPr>
        <w:t>אף</w:t>
      </w:r>
      <w:r w:rsidRPr="003021C5">
        <w:rPr>
          <w:rtl/>
        </w:rPr>
        <w:t xml:space="preserve"> </w:t>
      </w:r>
      <w:r w:rsidRPr="003021C5">
        <w:rPr>
          <w:rFonts w:hint="eastAsia"/>
          <w:rtl/>
        </w:rPr>
        <w:t>יותר</w:t>
      </w:r>
      <w:r w:rsidRPr="003021C5">
        <w:rPr>
          <w:rtl/>
        </w:rPr>
        <w:t xml:space="preserve"> </w:t>
      </w:r>
      <w:r w:rsidRPr="003021C5">
        <w:rPr>
          <w:rFonts w:hint="eastAsia"/>
          <w:rtl/>
        </w:rPr>
        <w:t>מהנהיגה</w:t>
      </w:r>
      <w:r w:rsidRPr="003021C5">
        <w:rPr>
          <w:rtl/>
        </w:rPr>
        <w:t xml:space="preserve"> </w:t>
      </w:r>
      <w:r w:rsidRPr="003021C5">
        <w:rPr>
          <w:rFonts w:hint="eastAsia"/>
          <w:rtl/>
        </w:rPr>
        <w:t>בכביש</w:t>
      </w:r>
      <w:r w:rsidRPr="003021C5">
        <w:rPr>
          <w:rtl/>
        </w:rPr>
        <w:t xml:space="preserve"> </w:t>
      </w:r>
      <w:r w:rsidRPr="003021C5">
        <w:rPr>
          <w:rFonts w:hint="eastAsia"/>
          <w:rtl/>
        </w:rPr>
        <w:t>הציבורי</w:t>
      </w:r>
      <w:r w:rsidRPr="003021C5">
        <w:rPr>
          <w:rtl/>
        </w:rPr>
        <w:t xml:space="preserve">. </w:t>
      </w:r>
      <w:r w:rsidRPr="003021C5">
        <w:rPr>
          <w:rFonts w:hint="eastAsia"/>
          <w:rtl/>
        </w:rPr>
        <w:t>הסיבות</w:t>
      </w:r>
      <w:r w:rsidRPr="003021C5">
        <w:rPr>
          <w:rtl/>
        </w:rPr>
        <w:t xml:space="preserve"> </w:t>
      </w:r>
      <w:r w:rsidRPr="003021C5">
        <w:rPr>
          <w:rFonts w:hint="eastAsia"/>
          <w:rtl/>
        </w:rPr>
        <w:t>לעומסים</w:t>
      </w:r>
      <w:r w:rsidRPr="003021C5">
        <w:rPr>
          <w:rtl/>
        </w:rPr>
        <w:t xml:space="preserve"> </w:t>
      </w:r>
      <w:r w:rsidRPr="003021C5">
        <w:rPr>
          <w:rFonts w:hint="eastAsia"/>
          <w:rtl/>
        </w:rPr>
        <w:t>אלה</w:t>
      </w:r>
      <w:r w:rsidRPr="003021C5">
        <w:rPr>
          <w:rtl/>
        </w:rPr>
        <w:t xml:space="preserve"> </w:t>
      </w:r>
      <w:r w:rsidRPr="003021C5">
        <w:rPr>
          <w:rFonts w:hint="eastAsia"/>
          <w:rtl/>
        </w:rPr>
        <w:t>מגוונות</w:t>
      </w:r>
      <w:r w:rsidRPr="003021C5">
        <w:rPr>
          <w:rtl/>
        </w:rPr>
        <w:t xml:space="preserve">, </w:t>
      </w:r>
      <w:r w:rsidRPr="003021C5">
        <w:rPr>
          <w:rFonts w:hint="eastAsia"/>
          <w:rtl/>
        </w:rPr>
        <w:t>החל</w:t>
      </w:r>
      <w:r w:rsidRPr="003021C5">
        <w:rPr>
          <w:rtl/>
        </w:rPr>
        <w:t xml:space="preserve"> </w:t>
      </w:r>
      <w:r w:rsidRPr="003021C5">
        <w:rPr>
          <w:rFonts w:hint="eastAsia"/>
          <w:rtl/>
        </w:rPr>
        <w:t>מתאונות</w:t>
      </w:r>
      <w:r w:rsidRPr="003021C5">
        <w:rPr>
          <w:rtl/>
        </w:rPr>
        <w:t xml:space="preserve"> </w:t>
      </w:r>
      <w:r w:rsidRPr="003021C5">
        <w:rPr>
          <w:rFonts w:hint="eastAsia"/>
          <w:rtl/>
        </w:rPr>
        <w:t>דרכים</w:t>
      </w:r>
      <w:r w:rsidRPr="003021C5">
        <w:rPr>
          <w:rtl/>
        </w:rPr>
        <w:t xml:space="preserve"> </w:t>
      </w:r>
      <w:r w:rsidRPr="003021C5">
        <w:rPr>
          <w:rFonts w:hint="eastAsia"/>
          <w:rtl/>
        </w:rPr>
        <w:t>ושיפוצים</w:t>
      </w:r>
      <w:r w:rsidRPr="003021C5">
        <w:rPr>
          <w:rtl/>
        </w:rPr>
        <w:t xml:space="preserve"> </w:t>
      </w:r>
      <w:r w:rsidRPr="003021C5">
        <w:rPr>
          <w:rFonts w:hint="eastAsia"/>
          <w:rtl/>
        </w:rPr>
        <w:t>בכביש</w:t>
      </w:r>
      <w:r w:rsidRPr="003021C5">
        <w:rPr>
          <w:rtl/>
        </w:rPr>
        <w:t xml:space="preserve"> </w:t>
      </w:r>
      <w:r w:rsidRPr="003021C5">
        <w:rPr>
          <w:rFonts w:hint="eastAsia"/>
          <w:rtl/>
        </w:rPr>
        <w:t>וכלה</w:t>
      </w:r>
      <w:r w:rsidRPr="003021C5">
        <w:rPr>
          <w:rtl/>
        </w:rPr>
        <w:t xml:space="preserve"> </w:t>
      </w:r>
      <w:r w:rsidRPr="003021C5">
        <w:rPr>
          <w:rFonts w:hint="eastAsia"/>
          <w:rtl/>
        </w:rPr>
        <w:t>בעומס</w:t>
      </w:r>
      <w:r w:rsidRPr="003021C5">
        <w:rPr>
          <w:rtl/>
        </w:rPr>
        <w:t xml:space="preserve"> </w:t>
      </w:r>
      <w:r w:rsidRPr="003021C5">
        <w:rPr>
          <w:rFonts w:hint="eastAsia"/>
          <w:rtl/>
        </w:rPr>
        <w:t>שנובע</w:t>
      </w:r>
      <w:r w:rsidRPr="003021C5">
        <w:rPr>
          <w:rtl/>
        </w:rPr>
        <w:t xml:space="preserve"> </w:t>
      </w:r>
      <w:r w:rsidRPr="003021C5">
        <w:rPr>
          <w:rFonts w:hint="eastAsia"/>
          <w:rtl/>
        </w:rPr>
        <w:t>מתנועה</w:t>
      </w:r>
      <w:r w:rsidRPr="003021C5">
        <w:rPr>
          <w:rtl/>
        </w:rPr>
        <w:t xml:space="preserve"> </w:t>
      </w:r>
      <w:r w:rsidRPr="003021C5">
        <w:rPr>
          <w:rFonts w:hint="eastAsia"/>
          <w:rtl/>
        </w:rPr>
        <w:t>מרובה</w:t>
      </w:r>
      <w:r w:rsidRPr="003021C5">
        <w:rPr>
          <w:rtl/>
        </w:rPr>
        <w:t xml:space="preserve"> </w:t>
      </w:r>
      <w:r w:rsidRPr="003021C5">
        <w:rPr>
          <w:rFonts w:hint="eastAsia"/>
          <w:rtl/>
        </w:rPr>
        <w:t>במועדים</w:t>
      </w:r>
      <w:r w:rsidRPr="003021C5">
        <w:rPr>
          <w:rtl/>
        </w:rPr>
        <w:t xml:space="preserve"> </w:t>
      </w:r>
      <w:r w:rsidRPr="003021C5">
        <w:rPr>
          <w:rFonts w:hint="eastAsia"/>
          <w:rtl/>
        </w:rPr>
        <w:t>מיוחדים</w:t>
      </w:r>
      <w:r w:rsidRPr="003021C5">
        <w:rPr>
          <w:rtl/>
        </w:rPr>
        <w:t xml:space="preserve">, </w:t>
      </w:r>
      <w:r w:rsidRPr="003021C5">
        <w:rPr>
          <w:rFonts w:hint="eastAsia"/>
          <w:rtl/>
        </w:rPr>
        <w:t>דוגמת</w:t>
      </w:r>
      <w:r w:rsidRPr="003021C5">
        <w:rPr>
          <w:rtl/>
        </w:rPr>
        <w:t xml:space="preserve"> </w:t>
      </w:r>
      <w:r w:rsidRPr="003021C5">
        <w:rPr>
          <w:rFonts w:hint="eastAsia"/>
          <w:rtl/>
        </w:rPr>
        <w:t>חגי</w:t>
      </w:r>
      <w:r w:rsidRPr="003021C5">
        <w:rPr>
          <w:rtl/>
        </w:rPr>
        <w:t xml:space="preserve"> </w:t>
      </w:r>
      <w:r w:rsidRPr="003021C5">
        <w:rPr>
          <w:rFonts w:hint="eastAsia"/>
          <w:rtl/>
        </w:rPr>
        <w:t>ישראל</w:t>
      </w:r>
      <w:r w:rsidRPr="003021C5">
        <w:rPr>
          <w:rtl/>
        </w:rPr>
        <w:t>.</w:t>
      </w:r>
    </w:p>
    <w:p w14:paraId="4D47058D" w14:textId="7880A969" w:rsidR="002D0AC3" w:rsidRPr="003021C5" w:rsidRDefault="002D0AC3" w:rsidP="002D0AC3">
      <w:pPr>
        <w:pStyle w:val="Hesber"/>
        <w:rPr>
          <w:rtl/>
        </w:rPr>
      </w:pPr>
      <w:r w:rsidRPr="003021C5">
        <w:rPr>
          <w:rFonts w:hint="eastAsia"/>
          <w:rtl/>
        </w:rPr>
        <w:t>חוסר</w:t>
      </w:r>
      <w:r w:rsidRPr="003021C5">
        <w:rPr>
          <w:rtl/>
        </w:rPr>
        <w:t xml:space="preserve"> </w:t>
      </w:r>
      <w:r w:rsidRPr="003021C5">
        <w:rPr>
          <w:rFonts w:hint="eastAsia"/>
          <w:rtl/>
        </w:rPr>
        <w:t>המידע</w:t>
      </w:r>
      <w:r w:rsidRPr="003021C5">
        <w:rPr>
          <w:rtl/>
        </w:rPr>
        <w:t xml:space="preserve"> </w:t>
      </w:r>
      <w:r w:rsidRPr="003021C5">
        <w:rPr>
          <w:rFonts w:hint="eastAsia"/>
          <w:rtl/>
        </w:rPr>
        <w:t>של</w:t>
      </w:r>
      <w:r w:rsidRPr="003021C5">
        <w:rPr>
          <w:rtl/>
        </w:rPr>
        <w:t xml:space="preserve"> </w:t>
      </w:r>
      <w:r w:rsidRPr="003021C5">
        <w:rPr>
          <w:rFonts w:hint="eastAsia"/>
          <w:rtl/>
        </w:rPr>
        <w:t>הנהג</w:t>
      </w:r>
      <w:r w:rsidRPr="003021C5">
        <w:rPr>
          <w:rtl/>
        </w:rPr>
        <w:t xml:space="preserve"> </w:t>
      </w:r>
      <w:r w:rsidRPr="003021C5">
        <w:rPr>
          <w:rFonts w:hint="eastAsia"/>
          <w:rtl/>
        </w:rPr>
        <w:t>על</w:t>
      </w:r>
      <w:r w:rsidRPr="003021C5">
        <w:rPr>
          <w:rtl/>
        </w:rPr>
        <w:t xml:space="preserve"> </w:t>
      </w:r>
      <w:r w:rsidRPr="003021C5">
        <w:rPr>
          <w:rFonts w:hint="eastAsia"/>
          <w:rtl/>
        </w:rPr>
        <w:t>מצב</w:t>
      </w:r>
      <w:r w:rsidRPr="003021C5">
        <w:rPr>
          <w:rtl/>
        </w:rPr>
        <w:t xml:space="preserve"> </w:t>
      </w:r>
      <w:r w:rsidRPr="003021C5">
        <w:rPr>
          <w:rFonts w:hint="eastAsia"/>
          <w:rtl/>
        </w:rPr>
        <w:t>העומסים</w:t>
      </w:r>
      <w:r w:rsidRPr="003021C5">
        <w:rPr>
          <w:rtl/>
        </w:rPr>
        <w:t xml:space="preserve"> </w:t>
      </w:r>
      <w:r w:rsidRPr="003021C5">
        <w:rPr>
          <w:rFonts w:hint="eastAsia"/>
          <w:rtl/>
        </w:rPr>
        <w:t>בכביש</w:t>
      </w:r>
      <w:r w:rsidRPr="003021C5">
        <w:rPr>
          <w:rtl/>
        </w:rPr>
        <w:t xml:space="preserve"> </w:t>
      </w:r>
      <w:r w:rsidRPr="003021C5">
        <w:rPr>
          <w:rFonts w:hint="eastAsia"/>
          <w:rtl/>
        </w:rPr>
        <w:t>יוצר</w:t>
      </w:r>
      <w:r w:rsidRPr="003021C5">
        <w:rPr>
          <w:rtl/>
        </w:rPr>
        <w:t xml:space="preserve"> </w:t>
      </w:r>
      <w:r w:rsidRPr="003021C5">
        <w:rPr>
          <w:rFonts w:hint="eastAsia"/>
          <w:rtl/>
        </w:rPr>
        <w:t>אנומליה</w:t>
      </w:r>
      <w:r w:rsidRPr="003021C5">
        <w:rPr>
          <w:rtl/>
        </w:rPr>
        <w:t xml:space="preserve"> </w:t>
      </w:r>
      <w:r w:rsidRPr="003021C5">
        <w:rPr>
          <w:rFonts w:hint="eastAsia"/>
          <w:rtl/>
        </w:rPr>
        <w:t>בלתי</w:t>
      </w:r>
      <w:r w:rsidRPr="003021C5">
        <w:rPr>
          <w:rtl/>
        </w:rPr>
        <w:t xml:space="preserve"> </w:t>
      </w:r>
      <w:r w:rsidRPr="003021C5">
        <w:rPr>
          <w:rFonts w:hint="eastAsia"/>
          <w:rtl/>
        </w:rPr>
        <w:t>ראויה</w:t>
      </w:r>
      <w:r w:rsidRPr="003021C5">
        <w:rPr>
          <w:rtl/>
        </w:rPr>
        <w:t xml:space="preserve"> </w:t>
      </w:r>
      <w:r w:rsidR="00592AA3">
        <w:rPr>
          <w:rFonts w:hint="cs"/>
          <w:rtl/>
        </w:rPr>
        <w:t>ש</w:t>
      </w:r>
      <w:r w:rsidRPr="003021C5">
        <w:rPr>
          <w:rFonts w:hint="eastAsia"/>
          <w:rtl/>
        </w:rPr>
        <w:t>לפיה</w:t>
      </w:r>
      <w:r w:rsidRPr="003021C5">
        <w:rPr>
          <w:rtl/>
        </w:rPr>
        <w:t xml:space="preserve"> </w:t>
      </w:r>
      <w:r w:rsidRPr="003021C5">
        <w:rPr>
          <w:rFonts w:hint="eastAsia"/>
          <w:rtl/>
        </w:rPr>
        <w:t>נהג</w:t>
      </w:r>
      <w:r w:rsidRPr="003021C5">
        <w:rPr>
          <w:rtl/>
        </w:rPr>
        <w:t xml:space="preserve"> </w:t>
      </w:r>
      <w:r w:rsidRPr="003021C5">
        <w:rPr>
          <w:rFonts w:hint="eastAsia"/>
          <w:rtl/>
        </w:rPr>
        <w:t>משלם</w:t>
      </w:r>
      <w:r w:rsidRPr="003021C5">
        <w:rPr>
          <w:rtl/>
        </w:rPr>
        <w:t xml:space="preserve"> </w:t>
      </w:r>
      <w:r w:rsidRPr="003021C5">
        <w:rPr>
          <w:rFonts w:hint="eastAsia"/>
          <w:rtl/>
        </w:rPr>
        <w:t>לכביש</w:t>
      </w:r>
      <w:r w:rsidRPr="003021C5">
        <w:rPr>
          <w:rtl/>
        </w:rPr>
        <w:t xml:space="preserve"> </w:t>
      </w:r>
      <w:r w:rsidRPr="003021C5">
        <w:rPr>
          <w:rFonts w:hint="eastAsia"/>
          <w:rtl/>
        </w:rPr>
        <w:t>האגרה</w:t>
      </w:r>
      <w:r w:rsidRPr="003021C5">
        <w:rPr>
          <w:rtl/>
        </w:rPr>
        <w:t xml:space="preserve"> </w:t>
      </w:r>
      <w:r w:rsidRPr="003021C5">
        <w:rPr>
          <w:rFonts w:hint="eastAsia"/>
          <w:rtl/>
        </w:rPr>
        <w:t>כסף</w:t>
      </w:r>
      <w:r w:rsidRPr="003021C5">
        <w:rPr>
          <w:rtl/>
        </w:rPr>
        <w:t xml:space="preserve"> </w:t>
      </w:r>
      <w:r w:rsidRPr="003021C5">
        <w:rPr>
          <w:rFonts w:hint="eastAsia"/>
          <w:rtl/>
        </w:rPr>
        <w:t>עבור</w:t>
      </w:r>
      <w:r w:rsidRPr="003021C5">
        <w:rPr>
          <w:rtl/>
        </w:rPr>
        <w:t xml:space="preserve"> </w:t>
      </w:r>
      <w:r w:rsidRPr="003021C5">
        <w:rPr>
          <w:rFonts w:hint="eastAsia"/>
          <w:rtl/>
        </w:rPr>
        <w:t>שירות</w:t>
      </w:r>
      <w:r w:rsidRPr="003021C5">
        <w:rPr>
          <w:rtl/>
        </w:rPr>
        <w:t xml:space="preserve"> </w:t>
      </w:r>
      <w:r>
        <w:rPr>
          <w:rFonts w:hint="cs"/>
          <w:rtl/>
        </w:rPr>
        <w:t>ש</w:t>
      </w:r>
      <w:r w:rsidRPr="003021C5">
        <w:rPr>
          <w:rFonts w:hint="eastAsia"/>
          <w:rtl/>
        </w:rPr>
        <w:t>הוא</w:t>
      </w:r>
      <w:r w:rsidRPr="003021C5">
        <w:rPr>
          <w:rtl/>
        </w:rPr>
        <w:t xml:space="preserve"> </w:t>
      </w:r>
      <w:r w:rsidRPr="003021C5">
        <w:rPr>
          <w:rFonts w:hint="eastAsia"/>
          <w:rtl/>
        </w:rPr>
        <w:t>לא</w:t>
      </w:r>
      <w:r w:rsidRPr="003021C5">
        <w:rPr>
          <w:rtl/>
        </w:rPr>
        <w:t xml:space="preserve"> </w:t>
      </w:r>
      <w:r w:rsidRPr="003021C5">
        <w:rPr>
          <w:rFonts w:hint="eastAsia"/>
          <w:rtl/>
        </w:rPr>
        <w:t>מקבל</w:t>
      </w:r>
      <w:r w:rsidRPr="003021C5">
        <w:rPr>
          <w:rtl/>
        </w:rPr>
        <w:t>.</w:t>
      </w:r>
    </w:p>
    <w:p w14:paraId="38ACD9ED" w14:textId="7AF00C37" w:rsidR="002D0AC3" w:rsidRPr="003021C5" w:rsidRDefault="002D0AC3" w:rsidP="002D0AC3">
      <w:pPr>
        <w:pStyle w:val="Hesber"/>
        <w:rPr>
          <w:rtl/>
        </w:rPr>
      </w:pPr>
      <w:r w:rsidRPr="003021C5">
        <w:rPr>
          <w:rFonts w:hint="cs"/>
          <w:rtl/>
        </w:rPr>
        <w:lastRenderedPageBreak/>
        <w:t xml:space="preserve">הצעת החוק </w:t>
      </w:r>
      <w:r>
        <w:rPr>
          <w:rFonts w:hint="cs"/>
          <w:rtl/>
        </w:rPr>
        <w:t>נועדה</w:t>
      </w:r>
      <w:r w:rsidRPr="003021C5">
        <w:rPr>
          <w:rFonts w:hint="cs"/>
          <w:rtl/>
        </w:rPr>
        <w:t xml:space="preserve"> לפתור מצב דברים זה ולהבטיח כי מידע בסיסי זה (הנהוג למשל בכניסה לנתיב המהיר לתל אביב) יימסר לנהגים בטרם ייכנסו אל כביש האגרה.</w:t>
      </w:r>
      <w:r w:rsidRPr="003021C5">
        <w:rPr>
          <w:rtl/>
        </w:rPr>
        <w:t xml:space="preserve"> זאת, על ידי חיוב להציב שלטים אלקטרוניים בולטים ונראים לעין הנוהג, </w:t>
      </w:r>
      <w:r>
        <w:rPr>
          <w:rFonts w:hint="cs"/>
          <w:rtl/>
        </w:rPr>
        <w:t>ש</w:t>
      </w:r>
      <w:r w:rsidRPr="003021C5">
        <w:rPr>
          <w:rtl/>
        </w:rPr>
        <w:t>בהם יפורסם העומס בכביש האגרה.</w:t>
      </w:r>
      <w:r w:rsidR="00116CFF">
        <w:rPr>
          <w:rFonts w:hint="cs"/>
          <w:rtl/>
        </w:rPr>
        <w:t xml:space="preserve"> כמו כן, מוצע כי שר התחבורה והבטיחות בדרכים יקבע הוראות לעניין מיקום השילוט וגודלו ולעניין הגורם האחראי לשילוט זה.</w:t>
      </w:r>
    </w:p>
    <w:p w14:paraId="071946BC" w14:textId="6747A695" w:rsidR="00D7779F" w:rsidRDefault="00D7779F" w:rsidP="00D7779F">
      <w:pPr>
        <w:pStyle w:val="Hesber"/>
        <w:rPr>
          <w:rtl/>
        </w:rPr>
      </w:pPr>
      <w:r>
        <w:rPr>
          <w:rFonts w:hint="cs"/>
          <w:rtl/>
        </w:rPr>
        <w:t xml:space="preserve">הצעת חוק דומה בעיקרה הונחה </w:t>
      </w:r>
      <w:r w:rsidRPr="003021C5">
        <w:rPr>
          <w:rFonts w:hint="cs"/>
          <w:rtl/>
        </w:rPr>
        <w:t>על ש</w:t>
      </w:r>
      <w:r>
        <w:rPr>
          <w:rFonts w:hint="cs"/>
          <w:rtl/>
        </w:rPr>
        <w:t>ולחן הכנסת השבע-עשרה על ידי חבר</w:t>
      </w:r>
      <w:r w:rsidRPr="003021C5">
        <w:rPr>
          <w:rFonts w:hint="cs"/>
          <w:rtl/>
        </w:rPr>
        <w:t xml:space="preserve"> הכנסת גלעד ארדן </w:t>
      </w:r>
      <w:r>
        <w:rPr>
          <w:rFonts w:hint="cs"/>
          <w:rtl/>
        </w:rPr>
        <w:t>וקבוצת חברי הכנסת</w:t>
      </w:r>
      <w:r w:rsidRPr="003021C5">
        <w:rPr>
          <w:rFonts w:hint="cs"/>
          <w:rtl/>
        </w:rPr>
        <w:t xml:space="preserve"> </w:t>
      </w:r>
      <w:r w:rsidRPr="003021C5">
        <w:rPr>
          <w:rtl/>
        </w:rPr>
        <w:t>(פ/3241/17)</w:t>
      </w:r>
      <w:r>
        <w:rPr>
          <w:rFonts w:hint="cs"/>
          <w:rtl/>
        </w:rPr>
        <w:t>.</w:t>
      </w:r>
    </w:p>
    <w:p w14:paraId="5A311B8F" w14:textId="3AA10DE7" w:rsidR="002D0AC3" w:rsidRDefault="002D0AC3" w:rsidP="00544BB7">
      <w:pPr>
        <w:pStyle w:val="Hesber"/>
        <w:rPr>
          <w:rtl/>
        </w:rPr>
      </w:pPr>
      <w:r w:rsidRPr="003021C5">
        <w:rPr>
          <w:rFonts w:hint="cs"/>
          <w:rtl/>
        </w:rPr>
        <w:t>הצע</w:t>
      </w:r>
      <w:r>
        <w:rPr>
          <w:rFonts w:hint="cs"/>
          <w:rtl/>
        </w:rPr>
        <w:t>ו</w:t>
      </w:r>
      <w:r w:rsidRPr="003021C5">
        <w:rPr>
          <w:rFonts w:hint="cs"/>
          <w:rtl/>
        </w:rPr>
        <w:t xml:space="preserve">ת חוק </w:t>
      </w:r>
      <w:r>
        <w:rPr>
          <w:rFonts w:hint="cs"/>
          <w:rtl/>
        </w:rPr>
        <w:t>זהות הונחו</w:t>
      </w:r>
      <w:r w:rsidRPr="003021C5">
        <w:rPr>
          <w:rtl/>
        </w:rPr>
        <w:t xml:space="preserve"> </w:t>
      </w:r>
      <w:r>
        <w:rPr>
          <w:rFonts w:hint="cs"/>
          <w:rtl/>
        </w:rPr>
        <w:t>על שולחן הכנסת השמונה</w:t>
      </w:r>
      <w:r w:rsidR="00544BB7">
        <w:rPr>
          <w:rFonts w:hint="cs"/>
          <w:rtl/>
        </w:rPr>
        <w:t>-</w:t>
      </w:r>
      <w:r>
        <w:rPr>
          <w:rFonts w:hint="cs"/>
          <w:rtl/>
        </w:rPr>
        <w:t xml:space="preserve">עשרה </w:t>
      </w:r>
      <w:r w:rsidRPr="003021C5">
        <w:rPr>
          <w:rFonts w:hint="cs"/>
          <w:rtl/>
        </w:rPr>
        <w:t>על ידי ח</w:t>
      </w:r>
      <w:r>
        <w:rPr>
          <w:rFonts w:hint="cs"/>
          <w:rtl/>
        </w:rPr>
        <w:t>בר הכנסת</w:t>
      </w:r>
      <w:r w:rsidRPr="003021C5">
        <w:rPr>
          <w:rFonts w:hint="cs"/>
          <w:rtl/>
        </w:rPr>
        <w:t xml:space="preserve"> אלי אפללו (פ</w:t>
      </w:r>
      <w:r>
        <w:rPr>
          <w:rFonts w:hint="cs"/>
          <w:rtl/>
        </w:rPr>
        <w:t>/</w:t>
      </w:r>
      <w:r w:rsidRPr="003021C5">
        <w:rPr>
          <w:rFonts w:hint="cs"/>
          <w:rtl/>
        </w:rPr>
        <w:t>1196/18)</w:t>
      </w:r>
      <w:r w:rsidR="007A663B">
        <w:rPr>
          <w:rFonts w:hint="cs"/>
          <w:rtl/>
        </w:rPr>
        <w:t>,</w:t>
      </w:r>
      <w:r w:rsidR="00116CFF">
        <w:rPr>
          <w:rFonts w:hint="cs"/>
          <w:rtl/>
        </w:rPr>
        <w:t xml:space="preserve"> ועל שולחן הכנסת העשרים על ידי חבר הכנסת מאיר כהן וקבוצת חברי הכנסת (פ/5030/20)</w:t>
      </w:r>
      <w:r w:rsidRPr="003021C5">
        <w:rPr>
          <w:rFonts w:hint="cs"/>
          <w:rtl/>
        </w:rPr>
        <w:t>.</w:t>
      </w:r>
    </w:p>
    <w:p w14:paraId="080FDE0F" w14:textId="77777777" w:rsidR="003521FC" w:rsidRDefault="003521FC" w:rsidP="00544BB7">
      <w:pPr>
        <w:pStyle w:val="Hesber"/>
        <w:rPr>
          <w:rtl/>
        </w:rPr>
      </w:pPr>
    </w:p>
    <w:p w14:paraId="5480F24C" w14:textId="77777777" w:rsidR="003521FC" w:rsidRPr="00D73212" w:rsidRDefault="003521FC" w:rsidP="003521FC">
      <w:pPr>
        <w:pStyle w:val="Hesber"/>
        <w:rPr>
          <w:color w:val="auto"/>
          <w:rtl/>
          <w:lang w:eastAsia="en-US"/>
        </w:rPr>
      </w:pPr>
      <w:r w:rsidRPr="00D73212">
        <w:rPr>
          <w:color w:val="auto"/>
          <w:rtl/>
          <w:lang w:eastAsia="en-US"/>
        </w:rPr>
        <w:t>---------------------------------</w:t>
      </w:r>
    </w:p>
    <w:p w14:paraId="71DC1DC8" w14:textId="77777777" w:rsidR="003521FC" w:rsidRPr="00D73212" w:rsidRDefault="003521FC" w:rsidP="003521FC">
      <w:pPr>
        <w:pStyle w:val="Hesber"/>
        <w:rPr>
          <w:color w:val="auto"/>
          <w:rtl/>
          <w:lang w:eastAsia="en-US"/>
        </w:rPr>
      </w:pPr>
      <w:r w:rsidRPr="00D73212">
        <w:rPr>
          <w:rFonts w:hint="cs"/>
          <w:color w:val="auto"/>
          <w:rtl/>
          <w:lang w:eastAsia="en-US"/>
        </w:rPr>
        <w:t>הוגשה</w:t>
      </w:r>
      <w:r w:rsidRPr="00D73212">
        <w:rPr>
          <w:color w:val="auto"/>
          <w:rtl/>
          <w:lang w:eastAsia="en-US"/>
        </w:rPr>
        <w:t xml:space="preserve"> </w:t>
      </w:r>
      <w:r w:rsidRPr="00D73212">
        <w:rPr>
          <w:rFonts w:hint="cs"/>
          <w:color w:val="auto"/>
          <w:rtl/>
          <w:lang w:eastAsia="en-US"/>
        </w:rPr>
        <w:t>ליו</w:t>
      </w:r>
      <w:r w:rsidRPr="00D73212">
        <w:rPr>
          <w:color w:val="auto"/>
          <w:rtl/>
          <w:lang w:eastAsia="en-US"/>
        </w:rPr>
        <w:t>"</w:t>
      </w:r>
      <w:r w:rsidRPr="00D73212">
        <w:rPr>
          <w:rFonts w:hint="cs"/>
          <w:color w:val="auto"/>
          <w:rtl/>
          <w:lang w:eastAsia="en-US"/>
        </w:rPr>
        <w:t>ר</w:t>
      </w:r>
      <w:r w:rsidRPr="00D73212">
        <w:rPr>
          <w:color w:val="auto"/>
          <w:rtl/>
          <w:lang w:eastAsia="en-US"/>
        </w:rPr>
        <w:t xml:space="preserve"> </w:t>
      </w:r>
      <w:r w:rsidRPr="00D73212">
        <w:rPr>
          <w:rFonts w:hint="cs"/>
          <w:color w:val="auto"/>
          <w:rtl/>
          <w:lang w:eastAsia="en-US"/>
        </w:rPr>
        <w:t>הכנסת</w:t>
      </w:r>
      <w:r w:rsidRPr="00D73212">
        <w:rPr>
          <w:color w:val="auto"/>
          <w:rtl/>
          <w:lang w:eastAsia="en-US"/>
        </w:rPr>
        <w:t xml:space="preserve"> </w:t>
      </w:r>
      <w:r w:rsidRPr="00D73212">
        <w:rPr>
          <w:rFonts w:hint="cs"/>
          <w:color w:val="auto"/>
          <w:rtl/>
          <w:lang w:eastAsia="en-US"/>
        </w:rPr>
        <w:t>והסגנים</w:t>
      </w:r>
    </w:p>
    <w:p w14:paraId="246F6922" w14:textId="77777777" w:rsidR="003521FC" w:rsidRPr="00D73212" w:rsidRDefault="003521FC" w:rsidP="003521FC">
      <w:pPr>
        <w:pStyle w:val="Hesber"/>
        <w:rPr>
          <w:color w:val="auto"/>
          <w:rtl/>
          <w:lang w:eastAsia="en-US"/>
        </w:rPr>
      </w:pPr>
      <w:r w:rsidRPr="00D73212">
        <w:rPr>
          <w:rFonts w:hint="cs"/>
          <w:color w:val="auto"/>
          <w:rtl/>
          <w:lang w:eastAsia="en-US"/>
        </w:rPr>
        <w:t>והונחה</w:t>
      </w:r>
      <w:r w:rsidRPr="00D73212">
        <w:rPr>
          <w:color w:val="auto"/>
          <w:rtl/>
          <w:lang w:eastAsia="en-US"/>
        </w:rPr>
        <w:t xml:space="preserve"> </w:t>
      </w:r>
      <w:r w:rsidRPr="00D73212">
        <w:rPr>
          <w:rFonts w:hint="cs"/>
          <w:color w:val="auto"/>
          <w:rtl/>
          <w:lang w:eastAsia="en-US"/>
        </w:rPr>
        <w:t>על</w:t>
      </w:r>
      <w:r w:rsidRPr="00D73212">
        <w:rPr>
          <w:color w:val="auto"/>
          <w:rtl/>
          <w:lang w:eastAsia="en-US"/>
        </w:rPr>
        <w:t xml:space="preserve"> </w:t>
      </w:r>
      <w:r w:rsidRPr="00D73212">
        <w:rPr>
          <w:rFonts w:hint="cs"/>
          <w:color w:val="auto"/>
          <w:rtl/>
          <w:lang w:eastAsia="en-US"/>
        </w:rPr>
        <w:t>שולחן</w:t>
      </w:r>
      <w:r w:rsidRPr="00D73212">
        <w:rPr>
          <w:color w:val="auto"/>
          <w:rtl/>
          <w:lang w:eastAsia="en-US"/>
        </w:rPr>
        <w:t xml:space="preserve"> </w:t>
      </w:r>
      <w:r w:rsidRPr="00D73212">
        <w:rPr>
          <w:rFonts w:hint="cs"/>
          <w:color w:val="auto"/>
          <w:rtl/>
          <w:lang w:eastAsia="en-US"/>
        </w:rPr>
        <w:t>הכנסת</w:t>
      </w:r>
      <w:r w:rsidRPr="00D73212">
        <w:rPr>
          <w:color w:val="auto"/>
          <w:rtl/>
          <w:lang w:eastAsia="en-US"/>
        </w:rPr>
        <w:t xml:space="preserve"> </w:t>
      </w:r>
      <w:r w:rsidRPr="00D73212">
        <w:rPr>
          <w:rFonts w:hint="cs"/>
          <w:color w:val="auto"/>
          <w:rtl/>
          <w:lang w:eastAsia="en-US"/>
        </w:rPr>
        <w:t>ביום</w:t>
      </w:r>
    </w:p>
    <w:p w14:paraId="61211158" w14:textId="77777777" w:rsidR="003521FC" w:rsidRPr="00317312" w:rsidRDefault="003521FC" w:rsidP="003521FC">
      <w:pPr>
        <w:pStyle w:val="Hesber"/>
      </w:pPr>
      <w:r>
        <w:rPr>
          <w:rFonts w:hint="cs"/>
          <w:color w:val="auto"/>
          <w:rtl/>
          <w:lang w:eastAsia="en-US"/>
        </w:rPr>
        <w:t>ט"ו באייר</w:t>
      </w:r>
      <w:r w:rsidRPr="00D73212">
        <w:rPr>
          <w:color w:val="auto"/>
          <w:rtl/>
          <w:lang w:eastAsia="en-US"/>
        </w:rPr>
        <w:t xml:space="preserve"> </w:t>
      </w:r>
      <w:proofErr w:type="spellStart"/>
      <w:r w:rsidRPr="00D73212">
        <w:rPr>
          <w:rFonts w:hint="cs"/>
          <w:color w:val="auto"/>
          <w:rtl/>
          <w:lang w:eastAsia="en-US"/>
        </w:rPr>
        <w:t>התשע</w:t>
      </w:r>
      <w:r w:rsidRPr="00D73212">
        <w:rPr>
          <w:color w:val="auto"/>
          <w:rtl/>
          <w:lang w:eastAsia="en-US"/>
        </w:rPr>
        <w:t>"</w:t>
      </w:r>
      <w:r>
        <w:rPr>
          <w:rFonts w:hint="cs"/>
          <w:color w:val="auto"/>
          <w:rtl/>
          <w:lang w:eastAsia="en-US"/>
        </w:rPr>
        <w:t>ט</w:t>
      </w:r>
      <w:proofErr w:type="spellEnd"/>
      <w:r>
        <w:rPr>
          <w:rFonts w:hint="cs"/>
          <w:color w:val="auto"/>
          <w:rtl/>
          <w:lang w:eastAsia="en-US"/>
        </w:rPr>
        <w:t xml:space="preserve"> </w:t>
      </w:r>
      <w:r w:rsidRPr="00D73212">
        <w:rPr>
          <w:color w:val="auto"/>
          <w:rtl/>
          <w:lang w:eastAsia="en-US"/>
        </w:rPr>
        <w:t>–</w:t>
      </w:r>
      <w:r>
        <w:rPr>
          <w:rFonts w:hint="cs"/>
          <w:color w:val="auto"/>
          <w:rtl/>
          <w:lang w:eastAsia="en-US"/>
        </w:rPr>
        <w:t xml:space="preserve"> 20.5</w:t>
      </w:r>
      <w:r w:rsidRPr="00D73212">
        <w:rPr>
          <w:color w:val="auto"/>
          <w:rtl/>
          <w:lang w:eastAsia="en-US"/>
        </w:rPr>
        <w:t>.</w:t>
      </w:r>
      <w:r>
        <w:rPr>
          <w:rFonts w:hint="cs"/>
          <w:color w:val="auto"/>
          <w:rtl/>
          <w:lang w:eastAsia="en-US"/>
        </w:rPr>
        <w:t xml:space="preserve">19  </w:t>
      </w:r>
    </w:p>
    <w:p w14:paraId="63C6964D" w14:textId="77777777" w:rsidR="003521FC" w:rsidRPr="003521FC" w:rsidRDefault="003521FC" w:rsidP="00544BB7">
      <w:pPr>
        <w:pStyle w:val="Hesber"/>
        <w:rPr>
          <w:rtl/>
        </w:rPr>
      </w:pPr>
      <w:bookmarkStart w:id="8" w:name="_GoBack"/>
      <w:bookmarkEnd w:id="8"/>
    </w:p>
    <w:p w14:paraId="28FB1B36" w14:textId="77777777" w:rsidR="002D0AC3" w:rsidRDefault="002D0AC3" w:rsidP="002D0AC3">
      <w:pPr>
        <w:pStyle w:val="Hesber"/>
        <w:rPr>
          <w:rtl/>
        </w:rPr>
      </w:pPr>
    </w:p>
    <w:p w14:paraId="444FAD6D" w14:textId="77777777" w:rsidR="002D0AC3" w:rsidRDefault="002D0AC3" w:rsidP="002D0AC3">
      <w:pPr>
        <w:pStyle w:val="Hesber"/>
        <w:rPr>
          <w:rtl/>
        </w:rPr>
      </w:pPr>
    </w:p>
    <w:p w14:paraId="3FBCFB06" w14:textId="77777777" w:rsidR="002D0AC3" w:rsidRDefault="002D0AC3" w:rsidP="002D0AC3">
      <w:pPr>
        <w:pStyle w:val="Hesber"/>
        <w:rPr>
          <w:rtl/>
        </w:rPr>
      </w:pPr>
    </w:p>
    <w:p w14:paraId="7F6961CB" w14:textId="77777777" w:rsidR="00E13C27" w:rsidRDefault="00E13C27" w:rsidP="00E13C27">
      <w:pPr>
        <w:pStyle w:val="Hesber"/>
        <w:rPr>
          <w:rtl/>
        </w:rPr>
      </w:pPr>
    </w:p>
    <w:sectPr w:rsidR="00E13C2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3521FC">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43EFC52B" w14:textId="77777777" w:rsidR="002D0AC3" w:rsidRDefault="002D0AC3" w:rsidP="002D0AC3">
      <w:pPr>
        <w:pStyle w:val="a4"/>
        <w:rPr>
          <w:rtl/>
        </w:rPr>
      </w:pPr>
      <w:r>
        <w:rPr>
          <w:rStyle w:val="a6"/>
        </w:rPr>
        <w:footnoteRef/>
      </w:r>
      <w:r>
        <w:rPr>
          <w:rFonts w:hint="cs"/>
          <w:sz w:val="20"/>
          <w:rtl/>
        </w:rPr>
        <w:t xml:space="preserve"> ס"ח </w:t>
      </w:r>
      <w:proofErr w:type="spellStart"/>
      <w:r>
        <w:rPr>
          <w:rFonts w:hint="cs"/>
          <w:sz w:val="20"/>
          <w:rtl/>
        </w:rPr>
        <w:t>התשנ"ה</w:t>
      </w:r>
      <w:proofErr w:type="spellEnd"/>
      <w:r>
        <w:rPr>
          <w:rFonts w:hint="cs"/>
          <w:sz w:val="20"/>
          <w:rtl/>
        </w:rPr>
        <w:t>, עמ' 490.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0F27CB"/>
    <w:rsid w:val="00102B6B"/>
    <w:rsid w:val="001052D4"/>
    <w:rsid w:val="0010644B"/>
    <w:rsid w:val="00116CFF"/>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0AC3"/>
    <w:rsid w:val="002D1EE3"/>
    <w:rsid w:val="002D57C3"/>
    <w:rsid w:val="002F1D80"/>
    <w:rsid w:val="003232A2"/>
    <w:rsid w:val="00325C14"/>
    <w:rsid w:val="003521FC"/>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44BB7"/>
    <w:rsid w:val="00553C9D"/>
    <w:rsid w:val="00562A66"/>
    <w:rsid w:val="00592AA3"/>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A663B"/>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7779F"/>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5A645130-CA6B-42BC-BD09-86ACEBB65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2D0AC3"/>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697467741CB98040970A6DBBC195775F" ma:contentTypeVersion="" ma:contentTypeDescription="צור מסמך חדש." ma:contentTypeScope="" ma:versionID="6e55fc6acbead604c2f45a2c1dd20751">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1CDDD00-955B-40B6-B869-3DD5DDDC3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95538DF-1E08-4B4E-BB33-8EAE6F34D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394</Words>
  <Characters>1974</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אילת וולברג</cp:lastModifiedBy>
  <cp:revision>11</cp:revision>
  <cp:lastPrinted>2019-04-30T13:53:00Z</cp:lastPrinted>
  <dcterms:created xsi:type="dcterms:W3CDTF">2015-04-20T09:58:00Z</dcterms:created>
  <dcterms:modified xsi:type="dcterms:W3CDTF">2019-05-19T10:54:00Z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0x010100697467741CB98040970A6DBBC195775F</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2078968</vt:r8>
  </property>
</Properties>
</file>